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Look w:val="04A0" w:firstRow="1" w:lastRow="0" w:firstColumn="1" w:lastColumn="0" w:noHBand="0" w:noVBand="1"/>
      </w:tblPr>
      <w:tblGrid>
        <w:gridCol w:w="4322"/>
        <w:gridCol w:w="4322"/>
      </w:tblGrid>
      <w:tr w:rsidR="00EC1042" w:rsidRPr="00800D95" w:rsidTr="00800D95">
        <w:tc>
          <w:tcPr>
            <w:tcW w:w="8644" w:type="dxa"/>
            <w:gridSpan w:val="2"/>
          </w:tcPr>
          <w:p w:rsidR="00EC1042" w:rsidRPr="00800D95" w:rsidRDefault="00EC1042" w:rsidP="00EC1042">
            <w:pPr>
              <w:jc w:val="center"/>
              <w:rPr>
                <w:rFonts w:asciiTheme="majorHAnsi" w:hAnsiTheme="majorHAnsi"/>
                <w:b/>
              </w:rPr>
            </w:pPr>
            <w:r w:rsidRPr="00800D95">
              <w:rPr>
                <w:rFonts w:asciiTheme="majorHAnsi" w:hAnsiTheme="majorHAnsi"/>
                <w:b/>
              </w:rPr>
              <w:t>Cambios solicitados</w:t>
            </w:r>
          </w:p>
        </w:tc>
      </w:tr>
      <w:tr w:rsidR="00EC1042" w:rsidRPr="00800D95" w:rsidTr="00EC1042">
        <w:tc>
          <w:tcPr>
            <w:tcW w:w="4322" w:type="dxa"/>
          </w:tcPr>
          <w:p w:rsidR="00EC1042" w:rsidRPr="00800D95" w:rsidRDefault="00A600C7" w:rsidP="00EC1042">
            <w:pPr>
              <w:jc w:val="center"/>
              <w:rPr>
                <w:rFonts w:asciiTheme="majorHAnsi" w:hAnsiTheme="majorHAnsi"/>
                <w:b/>
              </w:rPr>
            </w:pPr>
            <w:r w:rsidRPr="00800D95">
              <w:rPr>
                <w:rFonts w:asciiTheme="majorHAnsi" w:hAnsiTheme="majorHAnsi"/>
                <w:b/>
              </w:rPr>
              <w:t>Dictaminador 1</w:t>
            </w:r>
          </w:p>
        </w:tc>
        <w:tc>
          <w:tcPr>
            <w:tcW w:w="4322" w:type="dxa"/>
          </w:tcPr>
          <w:p w:rsidR="00EC1042" w:rsidRPr="00800D95" w:rsidRDefault="00EC1042" w:rsidP="00EC1042">
            <w:pPr>
              <w:jc w:val="center"/>
              <w:rPr>
                <w:rFonts w:asciiTheme="majorHAnsi" w:hAnsiTheme="majorHAnsi"/>
                <w:b/>
              </w:rPr>
            </w:pPr>
            <w:r w:rsidRPr="00800D95">
              <w:rPr>
                <w:rFonts w:asciiTheme="majorHAnsi" w:hAnsiTheme="majorHAnsi"/>
                <w:b/>
              </w:rPr>
              <w:t>Texto</w:t>
            </w:r>
          </w:p>
        </w:tc>
      </w:tr>
      <w:tr w:rsidR="00EC1042" w:rsidRPr="00800D95" w:rsidTr="00EC1042">
        <w:tc>
          <w:tcPr>
            <w:tcW w:w="4322" w:type="dxa"/>
          </w:tcPr>
          <w:p w:rsidR="00EC1042" w:rsidRPr="00800D95" w:rsidRDefault="00EC1042">
            <w:pPr>
              <w:rPr>
                <w:rFonts w:asciiTheme="majorHAnsi" w:hAnsiTheme="majorHAnsi"/>
              </w:rPr>
            </w:pPr>
            <w:r w:rsidRPr="00800D95">
              <w:rPr>
                <w:rFonts w:asciiTheme="majorHAnsi" w:hAnsiTheme="majorHAnsi"/>
              </w:rPr>
              <w:t xml:space="preserve">Falta cierre </w:t>
            </w:r>
            <w:proofErr w:type="spellStart"/>
            <w:r w:rsidRPr="00800D95">
              <w:rPr>
                <w:rFonts w:asciiTheme="majorHAnsi" w:hAnsiTheme="majorHAnsi"/>
              </w:rPr>
              <w:t>glotal</w:t>
            </w:r>
            <w:proofErr w:type="spellEnd"/>
            <w:r w:rsidRPr="00800D95">
              <w:rPr>
                <w:rFonts w:asciiTheme="majorHAnsi" w:hAnsiTheme="majorHAnsi"/>
              </w:rPr>
              <w:t xml:space="preserve"> en logograma </w:t>
            </w:r>
            <w:r w:rsidRPr="00800D95">
              <w:rPr>
                <w:rFonts w:asciiTheme="majorHAnsi" w:hAnsiTheme="majorHAnsi"/>
                <w:b/>
              </w:rPr>
              <w:t>K’AK’</w:t>
            </w:r>
          </w:p>
        </w:tc>
        <w:tc>
          <w:tcPr>
            <w:tcW w:w="4322" w:type="dxa"/>
          </w:tcPr>
          <w:p w:rsidR="00EC1042" w:rsidRPr="00800D95" w:rsidRDefault="00C9619B">
            <w:pPr>
              <w:rPr>
                <w:rFonts w:asciiTheme="majorHAnsi" w:hAnsiTheme="majorHAnsi"/>
              </w:rPr>
            </w:pPr>
            <w:r w:rsidRPr="00800D95">
              <w:rPr>
                <w:rFonts w:asciiTheme="majorHAnsi" w:hAnsiTheme="majorHAnsi"/>
              </w:rPr>
              <w:t>-</w:t>
            </w:r>
            <w:r w:rsidR="00EC1042" w:rsidRPr="00800D95">
              <w:rPr>
                <w:rFonts w:asciiTheme="majorHAnsi" w:hAnsiTheme="majorHAnsi"/>
              </w:rPr>
              <w:t xml:space="preserve">Añadido cierre </w:t>
            </w:r>
            <w:proofErr w:type="spellStart"/>
            <w:r w:rsidR="00EC1042" w:rsidRPr="00800D95">
              <w:rPr>
                <w:rFonts w:asciiTheme="majorHAnsi" w:hAnsiTheme="majorHAnsi"/>
              </w:rPr>
              <w:t>glotal</w:t>
            </w:r>
            <w:proofErr w:type="spellEnd"/>
            <w:r w:rsidR="00EC1042" w:rsidRPr="00800D95">
              <w:rPr>
                <w:rFonts w:asciiTheme="majorHAnsi" w:hAnsiTheme="majorHAnsi"/>
              </w:rPr>
              <w:t xml:space="preserve"> en el logograma </w:t>
            </w:r>
            <w:r w:rsidR="00EC1042" w:rsidRPr="00800D95">
              <w:rPr>
                <w:rFonts w:asciiTheme="majorHAnsi" w:hAnsiTheme="majorHAnsi"/>
                <w:b/>
              </w:rPr>
              <w:t>K’AK’</w:t>
            </w:r>
          </w:p>
        </w:tc>
      </w:tr>
      <w:tr w:rsidR="00771458" w:rsidRPr="00800D95" w:rsidTr="00800D95">
        <w:trPr>
          <w:trHeight w:val="1084"/>
        </w:trPr>
        <w:tc>
          <w:tcPr>
            <w:tcW w:w="4322" w:type="dxa"/>
          </w:tcPr>
          <w:p w:rsidR="00771458" w:rsidRPr="00800D95" w:rsidRDefault="00771458">
            <w:pPr>
              <w:rPr>
                <w:rFonts w:asciiTheme="majorHAnsi" w:hAnsiTheme="majorHAnsi"/>
              </w:rPr>
            </w:pPr>
            <w:r w:rsidRPr="00800D95">
              <w:rPr>
                <w:rFonts w:asciiTheme="majorHAnsi" w:hAnsiTheme="majorHAnsi"/>
              </w:rPr>
              <w:t>Especificar propuesta de análisis epigráfico</w:t>
            </w:r>
          </w:p>
        </w:tc>
        <w:tc>
          <w:tcPr>
            <w:tcW w:w="4322" w:type="dxa"/>
          </w:tcPr>
          <w:p w:rsidR="00771458" w:rsidRPr="00800D95" w:rsidRDefault="00771458">
            <w:pPr>
              <w:rPr>
                <w:rFonts w:asciiTheme="majorHAnsi" w:hAnsiTheme="majorHAnsi"/>
              </w:rPr>
            </w:pPr>
            <w:r w:rsidRPr="00800D95">
              <w:rPr>
                <w:rFonts w:asciiTheme="majorHAnsi" w:hAnsiTheme="majorHAnsi"/>
              </w:rPr>
              <w:t>-Añadido como pie de página nº 13</w:t>
            </w:r>
          </w:p>
          <w:p w:rsidR="00771458" w:rsidRPr="00800D95" w:rsidRDefault="00771458" w:rsidP="00800D95">
            <w:pPr>
              <w:rPr>
                <w:rFonts w:asciiTheme="majorHAnsi" w:hAnsiTheme="majorHAnsi"/>
              </w:rPr>
            </w:pPr>
            <w:r w:rsidRPr="00800D95">
              <w:rPr>
                <w:rFonts w:asciiTheme="majorHAnsi" w:hAnsiTheme="majorHAnsi"/>
              </w:rPr>
              <w:t xml:space="preserve">-Añadida bibliografía de Lacadena y </w:t>
            </w:r>
            <w:proofErr w:type="spellStart"/>
            <w:r w:rsidRPr="00800D95">
              <w:rPr>
                <w:rFonts w:asciiTheme="majorHAnsi" w:hAnsiTheme="majorHAnsi"/>
              </w:rPr>
              <w:t>Wichmann</w:t>
            </w:r>
            <w:proofErr w:type="spellEnd"/>
            <w:r w:rsidRPr="00800D95">
              <w:rPr>
                <w:rFonts w:asciiTheme="majorHAnsi" w:hAnsiTheme="majorHAnsi"/>
              </w:rPr>
              <w:t xml:space="preserve"> (2004, 2005), </w:t>
            </w:r>
            <w:proofErr w:type="spellStart"/>
            <w:r w:rsidRPr="00800D95">
              <w:rPr>
                <w:rFonts w:asciiTheme="majorHAnsi" w:hAnsiTheme="majorHAnsi"/>
              </w:rPr>
              <w:t>Boot</w:t>
            </w:r>
            <w:proofErr w:type="spellEnd"/>
            <w:r w:rsidRPr="00800D95">
              <w:rPr>
                <w:rFonts w:asciiTheme="majorHAnsi" w:hAnsiTheme="majorHAnsi"/>
              </w:rPr>
              <w:t xml:space="preserve"> (2009) y </w:t>
            </w:r>
            <w:proofErr w:type="spellStart"/>
            <w:r w:rsidRPr="00800D95">
              <w:rPr>
                <w:rFonts w:asciiTheme="majorHAnsi" w:hAnsiTheme="majorHAnsi"/>
              </w:rPr>
              <w:t>Kettunen</w:t>
            </w:r>
            <w:proofErr w:type="spellEnd"/>
            <w:r w:rsidRPr="00800D95">
              <w:rPr>
                <w:rFonts w:asciiTheme="majorHAnsi" w:hAnsiTheme="majorHAnsi"/>
              </w:rPr>
              <w:t xml:space="preserve"> y Helmke (2014)</w:t>
            </w:r>
          </w:p>
        </w:tc>
      </w:tr>
      <w:tr w:rsidR="00EC1042" w:rsidRPr="00800D95" w:rsidTr="00EC1042">
        <w:tc>
          <w:tcPr>
            <w:tcW w:w="4322" w:type="dxa"/>
          </w:tcPr>
          <w:p w:rsidR="00EC1042" w:rsidRPr="00800D95" w:rsidRDefault="00C9619B">
            <w:pPr>
              <w:rPr>
                <w:rFonts w:asciiTheme="majorHAnsi" w:hAnsiTheme="majorHAnsi"/>
              </w:rPr>
            </w:pPr>
            <w:r w:rsidRPr="00800D95">
              <w:rPr>
                <w:rFonts w:asciiTheme="majorHAnsi" w:hAnsiTheme="majorHAnsi"/>
              </w:rPr>
              <w:t>Cita Bernal Romero</w:t>
            </w:r>
          </w:p>
        </w:tc>
        <w:tc>
          <w:tcPr>
            <w:tcW w:w="4322" w:type="dxa"/>
          </w:tcPr>
          <w:p w:rsidR="00C9619B" w:rsidRPr="00800D95" w:rsidRDefault="00C9619B">
            <w:pPr>
              <w:rPr>
                <w:rFonts w:asciiTheme="majorHAnsi" w:hAnsiTheme="majorHAnsi"/>
              </w:rPr>
            </w:pPr>
            <w:r w:rsidRPr="00800D95">
              <w:rPr>
                <w:rFonts w:asciiTheme="majorHAnsi" w:hAnsiTheme="majorHAnsi"/>
              </w:rPr>
              <w:t>-Cambio en la cita número 11 actualizada la obra de Bernal Romero</w:t>
            </w:r>
          </w:p>
          <w:p w:rsidR="00C9619B" w:rsidRPr="00800D95" w:rsidRDefault="00C9619B">
            <w:pPr>
              <w:rPr>
                <w:rFonts w:asciiTheme="majorHAnsi" w:hAnsiTheme="majorHAnsi"/>
              </w:rPr>
            </w:pPr>
            <w:r w:rsidRPr="00800D95">
              <w:rPr>
                <w:rFonts w:asciiTheme="majorHAnsi" w:hAnsiTheme="majorHAnsi"/>
              </w:rPr>
              <w:t>-Modificación en la bibliografía actualizando la referencia de Bernal Romero</w:t>
            </w:r>
          </w:p>
        </w:tc>
      </w:tr>
      <w:tr w:rsidR="00EC1042" w:rsidRPr="00800D95" w:rsidTr="00EC1042">
        <w:tc>
          <w:tcPr>
            <w:tcW w:w="4322" w:type="dxa"/>
          </w:tcPr>
          <w:p w:rsidR="00EC1042" w:rsidRPr="00800D95" w:rsidRDefault="0001542E">
            <w:pPr>
              <w:rPr>
                <w:rFonts w:asciiTheme="majorHAnsi" w:hAnsiTheme="majorHAnsi"/>
              </w:rPr>
            </w:pPr>
            <w:r w:rsidRPr="00800D95">
              <w:rPr>
                <w:rFonts w:asciiTheme="majorHAnsi" w:hAnsiTheme="majorHAnsi"/>
              </w:rPr>
              <w:t>Incluir bibliografía sobre Quintana Roo</w:t>
            </w:r>
          </w:p>
        </w:tc>
        <w:tc>
          <w:tcPr>
            <w:tcW w:w="4322" w:type="dxa"/>
          </w:tcPr>
          <w:p w:rsidR="00EC1042" w:rsidRPr="00800D95" w:rsidRDefault="0001542E">
            <w:pPr>
              <w:rPr>
                <w:rFonts w:asciiTheme="majorHAnsi" w:hAnsiTheme="majorHAnsi"/>
              </w:rPr>
            </w:pPr>
            <w:r w:rsidRPr="00800D95">
              <w:rPr>
                <w:rFonts w:asciiTheme="majorHAnsi" w:hAnsiTheme="majorHAnsi"/>
              </w:rPr>
              <w:t xml:space="preserve">-Se incluyen las referencias bibliográficas de Carrasco y Boucher (1987), Nalda (2004), Esparza (2012) y Esparza y Pérez (2009). </w:t>
            </w:r>
          </w:p>
        </w:tc>
      </w:tr>
      <w:tr w:rsidR="00EC1042" w:rsidRPr="00800D95" w:rsidTr="00EC1042">
        <w:tc>
          <w:tcPr>
            <w:tcW w:w="4322" w:type="dxa"/>
          </w:tcPr>
          <w:p w:rsidR="00EC1042" w:rsidRPr="00800D95" w:rsidRDefault="0001542E">
            <w:pPr>
              <w:rPr>
                <w:rFonts w:asciiTheme="majorHAnsi" w:hAnsiTheme="majorHAnsi"/>
              </w:rPr>
            </w:pPr>
            <w:r w:rsidRPr="00800D95">
              <w:rPr>
                <w:rFonts w:asciiTheme="majorHAnsi" w:hAnsiTheme="majorHAnsi"/>
              </w:rPr>
              <w:t>Incluir referencia al desciframiento de Ahkan por Grube</w:t>
            </w:r>
          </w:p>
        </w:tc>
        <w:tc>
          <w:tcPr>
            <w:tcW w:w="4322" w:type="dxa"/>
          </w:tcPr>
          <w:p w:rsidR="00EC1042" w:rsidRPr="00800D95" w:rsidRDefault="0001542E">
            <w:pPr>
              <w:rPr>
                <w:rFonts w:asciiTheme="majorHAnsi" w:hAnsiTheme="majorHAnsi"/>
              </w:rPr>
            </w:pPr>
            <w:r w:rsidRPr="00800D95">
              <w:rPr>
                <w:rFonts w:asciiTheme="majorHAnsi" w:hAnsiTheme="majorHAnsi"/>
              </w:rPr>
              <w:t xml:space="preserve">-Se incluye la referencia </w:t>
            </w:r>
            <w:r w:rsidR="008E4001" w:rsidRPr="00800D95">
              <w:rPr>
                <w:rFonts w:asciiTheme="majorHAnsi" w:hAnsiTheme="majorHAnsi"/>
              </w:rPr>
              <w:t>al trabajo de Grube (Grube 2004) en página 7.</w:t>
            </w:r>
          </w:p>
        </w:tc>
      </w:tr>
      <w:tr w:rsidR="00A600C7" w:rsidRPr="00800D95" w:rsidTr="00EC1042">
        <w:tc>
          <w:tcPr>
            <w:tcW w:w="4322" w:type="dxa"/>
          </w:tcPr>
          <w:p w:rsidR="00A600C7" w:rsidRPr="00800D95" w:rsidRDefault="00F25933">
            <w:pPr>
              <w:rPr>
                <w:rFonts w:asciiTheme="majorHAnsi" w:hAnsiTheme="majorHAnsi"/>
              </w:rPr>
            </w:pPr>
            <w:r>
              <w:rPr>
                <w:rFonts w:asciiTheme="majorHAnsi" w:hAnsiTheme="majorHAnsi"/>
              </w:rPr>
              <w:t>Gobernantes con nombre calendárico</w:t>
            </w:r>
          </w:p>
        </w:tc>
        <w:tc>
          <w:tcPr>
            <w:tcW w:w="4322" w:type="dxa"/>
          </w:tcPr>
          <w:p w:rsidR="00A600C7" w:rsidRPr="00800D95" w:rsidRDefault="00F25933" w:rsidP="00F25933">
            <w:pPr>
              <w:rPr>
                <w:rFonts w:asciiTheme="majorHAnsi" w:hAnsiTheme="majorHAnsi"/>
              </w:rPr>
            </w:pPr>
            <w:r>
              <w:rPr>
                <w:rFonts w:asciiTheme="majorHAnsi" w:hAnsiTheme="majorHAnsi"/>
              </w:rPr>
              <w:t xml:space="preserve">-Se incluyen consideraciones sobre esta cuestión, p. 6.  </w:t>
            </w:r>
          </w:p>
        </w:tc>
      </w:tr>
      <w:tr w:rsidR="005C568D" w:rsidRPr="00800D95" w:rsidTr="00EC1042">
        <w:tc>
          <w:tcPr>
            <w:tcW w:w="4322" w:type="dxa"/>
          </w:tcPr>
          <w:p w:rsidR="005C568D" w:rsidRDefault="005C568D">
            <w:pPr>
              <w:rPr>
                <w:rFonts w:asciiTheme="majorHAnsi" w:hAnsiTheme="majorHAnsi"/>
              </w:rPr>
            </w:pPr>
            <w:r>
              <w:rPr>
                <w:rFonts w:asciiTheme="majorHAnsi" w:hAnsiTheme="majorHAnsi"/>
              </w:rPr>
              <w:t xml:space="preserve">Variante 3 </w:t>
            </w:r>
            <w:proofErr w:type="spellStart"/>
            <w:r w:rsidRPr="005C568D">
              <w:rPr>
                <w:rFonts w:asciiTheme="majorHAnsi" w:hAnsiTheme="majorHAnsi"/>
                <w:i/>
              </w:rPr>
              <w:t>imix</w:t>
            </w:r>
            <w:proofErr w:type="spellEnd"/>
            <w:r>
              <w:rPr>
                <w:rFonts w:asciiTheme="majorHAnsi" w:hAnsiTheme="majorHAnsi"/>
              </w:rPr>
              <w:t xml:space="preserve"> y escuelas de artistas</w:t>
            </w:r>
          </w:p>
        </w:tc>
        <w:tc>
          <w:tcPr>
            <w:tcW w:w="4322" w:type="dxa"/>
          </w:tcPr>
          <w:p w:rsidR="005C568D" w:rsidRDefault="005C568D" w:rsidP="00F25933">
            <w:pPr>
              <w:rPr>
                <w:rFonts w:asciiTheme="majorHAnsi" w:hAnsiTheme="majorHAnsi"/>
              </w:rPr>
            </w:pPr>
            <w:r>
              <w:rPr>
                <w:rFonts w:asciiTheme="majorHAnsi" w:hAnsiTheme="majorHAnsi"/>
              </w:rPr>
              <w:t xml:space="preserve">-En el segundo párrafo de la p. 7 se incluyen datos al respecto. </w:t>
            </w:r>
          </w:p>
        </w:tc>
      </w:tr>
      <w:tr w:rsidR="00F25933" w:rsidRPr="00800D95" w:rsidTr="00EC1042">
        <w:tc>
          <w:tcPr>
            <w:tcW w:w="4322" w:type="dxa"/>
          </w:tcPr>
          <w:p w:rsidR="00F25933" w:rsidRPr="00800D95" w:rsidRDefault="00F25933">
            <w:pPr>
              <w:rPr>
                <w:rFonts w:asciiTheme="majorHAnsi" w:hAnsiTheme="majorHAnsi"/>
              </w:rPr>
            </w:pPr>
          </w:p>
        </w:tc>
        <w:tc>
          <w:tcPr>
            <w:tcW w:w="4322" w:type="dxa"/>
          </w:tcPr>
          <w:p w:rsidR="00F25933" w:rsidRPr="00800D95" w:rsidRDefault="00F25933">
            <w:pPr>
              <w:rPr>
                <w:rFonts w:asciiTheme="majorHAnsi" w:hAnsiTheme="majorHAnsi"/>
              </w:rPr>
            </w:pPr>
          </w:p>
        </w:tc>
      </w:tr>
      <w:tr w:rsidR="00A600C7" w:rsidRPr="00800D95" w:rsidTr="00EC1042">
        <w:tc>
          <w:tcPr>
            <w:tcW w:w="4322" w:type="dxa"/>
          </w:tcPr>
          <w:p w:rsidR="00A600C7" w:rsidRPr="007D0441" w:rsidRDefault="00A600C7" w:rsidP="00A600C7">
            <w:pPr>
              <w:jc w:val="center"/>
              <w:rPr>
                <w:rFonts w:asciiTheme="majorHAnsi" w:hAnsiTheme="majorHAnsi"/>
                <w:b/>
              </w:rPr>
            </w:pPr>
            <w:r w:rsidRPr="007D0441">
              <w:rPr>
                <w:rFonts w:asciiTheme="majorHAnsi" w:hAnsiTheme="majorHAnsi"/>
                <w:b/>
              </w:rPr>
              <w:t>Dictaminador 2</w:t>
            </w:r>
          </w:p>
        </w:tc>
        <w:tc>
          <w:tcPr>
            <w:tcW w:w="4322" w:type="dxa"/>
          </w:tcPr>
          <w:p w:rsidR="00A600C7" w:rsidRPr="00800D95" w:rsidRDefault="00A600C7">
            <w:pPr>
              <w:rPr>
                <w:rFonts w:asciiTheme="majorHAnsi" w:hAnsiTheme="majorHAnsi"/>
              </w:rPr>
            </w:pPr>
          </w:p>
        </w:tc>
      </w:tr>
      <w:tr w:rsidR="00A600C7" w:rsidRPr="00800D95" w:rsidTr="00EC1042">
        <w:tc>
          <w:tcPr>
            <w:tcW w:w="4322" w:type="dxa"/>
          </w:tcPr>
          <w:p w:rsidR="00A600C7" w:rsidRPr="00800D95" w:rsidRDefault="00A600C7" w:rsidP="00A600C7">
            <w:pPr>
              <w:rPr>
                <w:rFonts w:asciiTheme="majorHAnsi" w:hAnsiTheme="majorHAnsi"/>
              </w:rPr>
            </w:pPr>
            <w:r w:rsidRPr="00800D95">
              <w:rPr>
                <w:rFonts w:asciiTheme="majorHAnsi" w:hAnsiTheme="majorHAnsi"/>
              </w:rPr>
              <w:t>Título más específico</w:t>
            </w:r>
          </w:p>
        </w:tc>
        <w:tc>
          <w:tcPr>
            <w:tcW w:w="4322" w:type="dxa"/>
          </w:tcPr>
          <w:p w:rsidR="00A600C7" w:rsidRPr="00800D95" w:rsidRDefault="00A600C7">
            <w:pPr>
              <w:rPr>
                <w:rFonts w:asciiTheme="majorHAnsi" w:hAnsiTheme="majorHAnsi"/>
              </w:rPr>
            </w:pPr>
            <w:r w:rsidRPr="00800D95">
              <w:rPr>
                <w:rFonts w:asciiTheme="majorHAnsi" w:hAnsiTheme="majorHAnsi"/>
              </w:rPr>
              <w:t xml:space="preserve">-Se modifica la </w:t>
            </w:r>
            <w:proofErr w:type="spellStart"/>
            <w:r w:rsidRPr="00800D95">
              <w:rPr>
                <w:rFonts w:asciiTheme="majorHAnsi" w:hAnsiTheme="majorHAnsi"/>
              </w:rPr>
              <w:t>intitulación</w:t>
            </w:r>
            <w:proofErr w:type="spellEnd"/>
            <w:r w:rsidRPr="00800D95">
              <w:rPr>
                <w:rFonts w:asciiTheme="majorHAnsi" w:hAnsiTheme="majorHAnsi"/>
              </w:rPr>
              <w:t xml:space="preserve">. UN RECIPIENTE ESPECIAL PARA UNA BEBIDA PECULIAR. ANÁLISIS </w:t>
            </w:r>
            <w:r w:rsidRPr="00800D95">
              <w:rPr>
                <w:rFonts w:asciiTheme="majorHAnsi" w:hAnsiTheme="majorHAnsi"/>
                <w:color w:val="FF0000"/>
              </w:rPr>
              <w:t xml:space="preserve">DE LA VASIJA MAYA </w:t>
            </w:r>
            <w:r w:rsidRPr="00800D95">
              <w:rPr>
                <w:rFonts w:asciiTheme="majorHAnsi" w:hAnsiTheme="majorHAnsi"/>
              </w:rPr>
              <w:t>K955. P. 1</w:t>
            </w:r>
          </w:p>
        </w:tc>
      </w:tr>
      <w:tr w:rsidR="00A600C7" w:rsidRPr="00800D95" w:rsidTr="00EC1042">
        <w:tc>
          <w:tcPr>
            <w:tcW w:w="4322" w:type="dxa"/>
          </w:tcPr>
          <w:p w:rsidR="00A600C7" w:rsidRPr="00800D95" w:rsidRDefault="008434DE" w:rsidP="00A600C7">
            <w:pPr>
              <w:rPr>
                <w:rFonts w:asciiTheme="majorHAnsi" w:hAnsiTheme="majorHAnsi"/>
              </w:rPr>
            </w:pPr>
            <w:r w:rsidRPr="00800D95">
              <w:rPr>
                <w:rFonts w:asciiTheme="majorHAnsi" w:hAnsiTheme="majorHAnsi"/>
              </w:rPr>
              <w:t>Argumentación s</w:t>
            </w:r>
            <w:r w:rsidR="00A600C7" w:rsidRPr="00800D95">
              <w:rPr>
                <w:rFonts w:asciiTheme="majorHAnsi" w:hAnsiTheme="majorHAnsi"/>
              </w:rPr>
              <w:t>obre la lectura del glifo dinástico</w:t>
            </w:r>
          </w:p>
        </w:tc>
        <w:tc>
          <w:tcPr>
            <w:tcW w:w="4322" w:type="dxa"/>
          </w:tcPr>
          <w:p w:rsidR="00A600C7" w:rsidRPr="00800D95" w:rsidRDefault="00A600C7">
            <w:pPr>
              <w:rPr>
                <w:rFonts w:asciiTheme="majorHAnsi" w:hAnsiTheme="majorHAnsi"/>
              </w:rPr>
            </w:pPr>
            <w:r w:rsidRPr="00800D95">
              <w:rPr>
                <w:rFonts w:asciiTheme="majorHAnsi" w:hAnsiTheme="majorHAnsi"/>
              </w:rPr>
              <w:t>-Se incluyen diferentes lecturas del signo dinástico en la nota</w:t>
            </w:r>
            <w:r w:rsidR="003046E1" w:rsidRPr="00800D95">
              <w:rPr>
                <w:rFonts w:asciiTheme="majorHAnsi" w:hAnsiTheme="majorHAnsi"/>
              </w:rPr>
              <w:t xml:space="preserve"> Nº</w:t>
            </w:r>
            <w:r w:rsidRPr="00800D95">
              <w:rPr>
                <w:rFonts w:asciiTheme="majorHAnsi" w:hAnsiTheme="majorHAnsi"/>
              </w:rPr>
              <w:t xml:space="preserve"> 1</w:t>
            </w:r>
          </w:p>
          <w:p w:rsidR="00A600C7" w:rsidRPr="00800D95" w:rsidRDefault="00A600C7">
            <w:pPr>
              <w:rPr>
                <w:rFonts w:asciiTheme="majorHAnsi" w:hAnsiTheme="majorHAnsi"/>
              </w:rPr>
            </w:pPr>
            <w:r w:rsidRPr="00800D95">
              <w:rPr>
                <w:rFonts w:asciiTheme="majorHAnsi" w:hAnsiTheme="majorHAnsi"/>
              </w:rPr>
              <w:t>-Se incluye bibliografía al respecto</w:t>
            </w:r>
            <w:r w:rsidR="003046E1" w:rsidRPr="00800D95">
              <w:rPr>
                <w:rFonts w:asciiTheme="majorHAnsi" w:hAnsiTheme="majorHAnsi"/>
              </w:rPr>
              <w:t xml:space="preserve">. (Vázquez </w:t>
            </w:r>
            <w:r w:rsidR="003046E1" w:rsidRPr="00800D95">
              <w:rPr>
                <w:rFonts w:asciiTheme="majorHAnsi" w:hAnsiTheme="majorHAnsi"/>
                <w:i/>
              </w:rPr>
              <w:t>et al</w:t>
            </w:r>
            <w:r w:rsidR="003046E1" w:rsidRPr="00800D95">
              <w:rPr>
                <w:rFonts w:asciiTheme="majorHAnsi" w:hAnsiTheme="majorHAnsi"/>
              </w:rPr>
              <w:t xml:space="preserve">., 2015), (López, 2006), (Beliaev y </w:t>
            </w:r>
            <w:proofErr w:type="spellStart"/>
            <w:r w:rsidR="003046E1" w:rsidRPr="00800D95">
              <w:rPr>
                <w:rFonts w:asciiTheme="majorHAnsi" w:hAnsiTheme="majorHAnsi"/>
              </w:rPr>
              <w:t>Safronov</w:t>
            </w:r>
            <w:proofErr w:type="spellEnd"/>
            <w:r w:rsidR="003046E1" w:rsidRPr="00800D95">
              <w:rPr>
                <w:rFonts w:asciiTheme="majorHAnsi" w:hAnsiTheme="majorHAnsi"/>
              </w:rPr>
              <w:t>, s/f)</w:t>
            </w:r>
          </w:p>
        </w:tc>
      </w:tr>
      <w:tr w:rsidR="00904CF3" w:rsidRPr="00800D95" w:rsidTr="00EC1042">
        <w:tc>
          <w:tcPr>
            <w:tcW w:w="4322" w:type="dxa"/>
          </w:tcPr>
          <w:p w:rsidR="00904CF3" w:rsidRPr="00800D95" w:rsidRDefault="007451FD" w:rsidP="007451FD">
            <w:pPr>
              <w:rPr>
                <w:rFonts w:asciiTheme="majorHAnsi" w:hAnsiTheme="majorHAnsi"/>
              </w:rPr>
            </w:pPr>
            <w:r w:rsidRPr="00800D95">
              <w:rPr>
                <w:rFonts w:asciiTheme="majorHAnsi" w:hAnsiTheme="majorHAnsi"/>
              </w:rPr>
              <w:t xml:space="preserve">Cita de M. </w:t>
            </w:r>
            <w:proofErr w:type="spellStart"/>
            <w:r w:rsidRPr="00800D95">
              <w:rPr>
                <w:rFonts w:asciiTheme="majorHAnsi" w:hAnsiTheme="majorHAnsi"/>
              </w:rPr>
              <w:t>Coe</w:t>
            </w:r>
            <w:proofErr w:type="spellEnd"/>
          </w:p>
        </w:tc>
        <w:tc>
          <w:tcPr>
            <w:tcW w:w="4322" w:type="dxa"/>
          </w:tcPr>
          <w:p w:rsidR="00904CF3" w:rsidRPr="00800D95" w:rsidRDefault="007451FD">
            <w:pPr>
              <w:rPr>
                <w:rFonts w:asciiTheme="majorHAnsi" w:hAnsiTheme="majorHAnsi"/>
              </w:rPr>
            </w:pPr>
            <w:r w:rsidRPr="00800D95">
              <w:rPr>
                <w:rFonts w:asciiTheme="majorHAnsi" w:hAnsiTheme="majorHAnsi"/>
              </w:rPr>
              <w:t>-Añadi</w:t>
            </w:r>
            <w:r w:rsidR="00F25933">
              <w:rPr>
                <w:rFonts w:asciiTheme="majorHAnsi" w:hAnsiTheme="majorHAnsi"/>
              </w:rPr>
              <w:t xml:space="preserve">da la cita a la obra de M. </w:t>
            </w:r>
            <w:proofErr w:type="spellStart"/>
            <w:r w:rsidR="00F25933">
              <w:rPr>
                <w:rFonts w:asciiTheme="majorHAnsi" w:hAnsiTheme="majorHAnsi"/>
              </w:rPr>
              <w:t>Coe</w:t>
            </w:r>
            <w:proofErr w:type="spellEnd"/>
            <w:r w:rsidR="00F25933">
              <w:rPr>
                <w:rFonts w:asciiTheme="majorHAnsi" w:hAnsiTheme="majorHAnsi"/>
              </w:rPr>
              <w:t xml:space="preserve"> p</w:t>
            </w:r>
            <w:r w:rsidRPr="00800D95">
              <w:rPr>
                <w:rFonts w:asciiTheme="majorHAnsi" w:hAnsiTheme="majorHAnsi"/>
              </w:rPr>
              <w:t>. 2</w:t>
            </w:r>
          </w:p>
          <w:p w:rsidR="007451FD" w:rsidRPr="00800D95" w:rsidRDefault="007451FD">
            <w:pPr>
              <w:rPr>
                <w:rFonts w:asciiTheme="majorHAnsi" w:hAnsiTheme="majorHAnsi"/>
              </w:rPr>
            </w:pPr>
          </w:p>
        </w:tc>
      </w:tr>
      <w:tr w:rsidR="007451FD" w:rsidRPr="00800D95" w:rsidTr="00EC1042">
        <w:tc>
          <w:tcPr>
            <w:tcW w:w="4322" w:type="dxa"/>
          </w:tcPr>
          <w:p w:rsidR="007451FD" w:rsidRPr="00800D95" w:rsidRDefault="007451FD" w:rsidP="007451FD">
            <w:pPr>
              <w:rPr>
                <w:rFonts w:asciiTheme="majorHAnsi" w:hAnsiTheme="majorHAnsi"/>
              </w:rPr>
            </w:pPr>
            <w:r w:rsidRPr="00800D95">
              <w:rPr>
                <w:rFonts w:asciiTheme="majorHAnsi" w:hAnsiTheme="majorHAnsi"/>
              </w:rPr>
              <w:t>Cita de artículo de Martin entre comillas</w:t>
            </w:r>
          </w:p>
        </w:tc>
        <w:tc>
          <w:tcPr>
            <w:tcW w:w="4322" w:type="dxa"/>
          </w:tcPr>
          <w:p w:rsidR="007451FD" w:rsidRPr="00800D95" w:rsidRDefault="007451FD">
            <w:pPr>
              <w:rPr>
                <w:rFonts w:asciiTheme="majorHAnsi" w:hAnsiTheme="majorHAnsi"/>
              </w:rPr>
            </w:pPr>
            <w:r w:rsidRPr="00800D95">
              <w:rPr>
                <w:rFonts w:asciiTheme="majorHAnsi" w:hAnsiTheme="majorHAnsi"/>
              </w:rPr>
              <w:t>-Se corrigen las cursivas y se añade la referencia entre comillas. P. 2</w:t>
            </w:r>
          </w:p>
        </w:tc>
      </w:tr>
      <w:tr w:rsidR="007451FD" w:rsidRPr="00800D95" w:rsidTr="00EC1042">
        <w:tc>
          <w:tcPr>
            <w:tcW w:w="4322" w:type="dxa"/>
          </w:tcPr>
          <w:p w:rsidR="007451FD" w:rsidRPr="00800D95" w:rsidRDefault="00FC59B7" w:rsidP="007451FD">
            <w:pPr>
              <w:rPr>
                <w:rFonts w:asciiTheme="majorHAnsi" w:hAnsiTheme="majorHAnsi"/>
              </w:rPr>
            </w:pPr>
            <w:r w:rsidRPr="00800D95">
              <w:rPr>
                <w:rFonts w:asciiTheme="majorHAnsi" w:hAnsiTheme="majorHAnsi"/>
              </w:rPr>
              <w:t>Modificar SPE por FD</w:t>
            </w:r>
          </w:p>
        </w:tc>
        <w:tc>
          <w:tcPr>
            <w:tcW w:w="4322" w:type="dxa"/>
          </w:tcPr>
          <w:p w:rsidR="007451FD" w:rsidRPr="00800D95" w:rsidRDefault="00FC59B7">
            <w:pPr>
              <w:rPr>
                <w:rFonts w:asciiTheme="majorHAnsi" w:hAnsiTheme="majorHAnsi"/>
              </w:rPr>
            </w:pPr>
            <w:r w:rsidRPr="00800D95">
              <w:rPr>
                <w:rFonts w:asciiTheme="majorHAnsi" w:hAnsiTheme="majorHAnsi"/>
              </w:rPr>
              <w:t>-Se incorpora la referencia a la Fórmula Dedicatoria (Stuart, 2005)</w:t>
            </w:r>
          </w:p>
          <w:p w:rsidR="00FC59B7" w:rsidRPr="00800D95" w:rsidRDefault="00FC59B7">
            <w:pPr>
              <w:rPr>
                <w:rFonts w:asciiTheme="majorHAnsi" w:hAnsiTheme="majorHAnsi"/>
              </w:rPr>
            </w:pPr>
            <w:r w:rsidRPr="00800D95">
              <w:rPr>
                <w:rFonts w:asciiTheme="majorHAnsi" w:hAnsiTheme="majorHAnsi"/>
              </w:rPr>
              <w:t>-Se incluye la referencia bibliográfica</w:t>
            </w:r>
          </w:p>
          <w:p w:rsidR="00FC59B7" w:rsidRPr="00800D95" w:rsidRDefault="00FC59B7">
            <w:pPr>
              <w:rPr>
                <w:rFonts w:asciiTheme="majorHAnsi" w:hAnsiTheme="majorHAnsi"/>
              </w:rPr>
            </w:pPr>
            <w:r w:rsidRPr="00800D95">
              <w:rPr>
                <w:rFonts w:asciiTheme="majorHAnsi" w:hAnsiTheme="majorHAnsi"/>
              </w:rPr>
              <w:t>-Se modifica el término SPE por Fórmula Dedicatoria en las páginas 6, 15</w:t>
            </w:r>
          </w:p>
        </w:tc>
      </w:tr>
      <w:tr w:rsidR="007451FD" w:rsidRPr="00800D95" w:rsidTr="00EC1042">
        <w:tc>
          <w:tcPr>
            <w:tcW w:w="4322" w:type="dxa"/>
          </w:tcPr>
          <w:p w:rsidR="007451FD" w:rsidRPr="00800D95" w:rsidRDefault="000E6E9A" w:rsidP="007451FD">
            <w:pPr>
              <w:rPr>
                <w:rFonts w:asciiTheme="majorHAnsi" w:hAnsiTheme="majorHAnsi"/>
              </w:rPr>
            </w:pPr>
            <w:r w:rsidRPr="00800D95">
              <w:rPr>
                <w:rFonts w:asciiTheme="majorHAnsi" w:hAnsiTheme="majorHAnsi"/>
              </w:rPr>
              <w:t>En la página 8 referencia al desciframiento de Ahkan por Grube</w:t>
            </w:r>
          </w:p>
        </w:tc>
        <w:tc>
          <w:tcPr>
            <w:tcW w:w="4322" w:type="dxa"/>
          </w:tcPr>
          <w:p w:rsidR="007451FD" w:rsidRPr="00800D95" w:rsidRDefault="000E6E9A">
            <w:pPr>
              <w:rPr>
                <w:rFonts w:asciiTheme="majorHAnsi" w:hAnsiTheme="majorHAnsi"/>
              </w:rPr>
            </w:pPr>
            <w:r w:rsidRPr="00800D95">
              <w:rPr>
                <w:rFonts w:asciiTheme="majorHAnsi" w:hAnsiTheme="majorHAnsi"/>
              </w:rPr>
              <w:t xml:space="preserve">-Se añade referencia más clara, P. 8. </w:t>
            </w:r>
          </w:p>
        </w:tc>
      </w:tr>
      <w:tr w:rsidR="000E6E9A" w:rsidRPr="00800D95" w:rsidTr="00EC1042">
        <w:tc>
          <w:tcPr>
            <w:tcW w:w="4322" w:type="dxa"/>
          </w:tcPr>
          <w:p w:rsidR="000E6E9A" w:rsidRPr="00800D95" w:rsidRDefault="00E16560" w:rsidP="007451FD">
            <w:pPr>
              <w:rPr>
                <w:rFonts w:asciiTheme="majorHAnsi" w:hAnsiTheme="majorHAnsi"/>
              </w:rPr>
            </w:pPr>
            <w:r w:rsidRPr="00800D95">
              <w:rPr>
                <w:rFonts w:asciiTheme="majorHAnsi" w:hAnsiTheme="majorHAnsi"/>
              </w:rPr>
              <w:t xml:space="preserve">Modificar la consideración sobre agentivo </w:t>
            </w:r>
            <w:r w:rsidRPr="00800D95">
              <w:rPr>
                <w:rFonts w:asciiTheme="majorHAnsi" w:hAnsiTheme="majorHAnsi"/>
                <w:b/>
              </w:rPr>
              <w:t>AJ-</w:t>
            </w:r>
          </w:p>
        </w:tc>
        <w:tc>
          <w:tcPr>
            <w:tcW w:w="4322" w:type="dxa"/>
          </w:tcPr>
          <w:p w:rsidR="000E6E9A" w:rsidRPr="00800D95" w:rsidRDefault="00E16560" w:rsidP="00784BE0">
            <w:pPr>
              <w:rPr>
                <w:rFonts w:asciiTheme="majorHAnsi" w:hAnsiTheme="majorHAnsi"/>
              </w:rPr>
            </w:pPr>
            <w:r w:rsidRPr="00800D95">
              <w:rPr>
                <w:rFonts w:asciiTheme="majorHAnsi" w:hAnsiTheme="majorHAnsi"/>
              </w:rPr>
              <w:t>-Corregido, P. 10</w:t>
            </w:r>
            <w:r w:rsidR="00401400" w:rsidRPr="00800D95">
              <w:rPr>
                <w:rFonts w:asciiTheme="majorHAnsi" w:hAnsiTheme="majorHAnsi"/>
              </w:rPr>
              <w:t xml:space="preserve"> y se añaden dos referencias bibliográficas </w:t>
            </w:r>
            <w:r w:rsidR="00784BE0" w:rsidRPr="00800D95">
              <w:rPr>
                <w:rFonts w:asciiTheme="majorHAnsi" w:hAnsiTheme="majorHAnsi"/>
              </w:rPr>
              <w:t xml:space="preserve">sobre el signo </w:t>
            </w:r>
            <w:r w:rsidR="00784BE0" w:rsidRPr="00800D95">
              <w:rPr>
                <w:rFonts w:asciiTheme="majorHAnsi" w:hAnsiTheme="majorHAnsi"/>
                <w:b/>
              </w:rPr>
              <w:t>AJ-</w:t>
            </w:r>
            <w:r w:rsidR="00784BE0" w:rsidRPr="00800D95">
              <w:rPr>
                <w:rFonts w:asciiTheme="majorHAnsi" w:hAnsiTheme="majorHAnsi"/>
              </w:rPr>
              <w:t xml:space="preserve"> y su interpretación</w:t>
            </w:r>
            <w:r w:rsidR="00401400" w:rsidRPr="00800D95">
              <w:rPr>
                <w:rFonts w:asciiTheme="majorHAnsi" w:hAnsiTheme="majorHAnsi"/>
              </w:rPr>
              <w:t xml:space="preserve"> (Jackson y Stuart, 2001) y (Martin, 2012)</w:t>
            </w:r>
          </w:p>
        </w:tc>
      </w:tr>
      <w:tr w:rsidR="001079B9" w:rsidRPr="00800D95" w:rsidTr="00EC1042">
        <w:tc>
          <w:tcPr>
            <w:tcW w:w="4322" w:type="dxa"/>
          </w:tcPr>
          <w:p w:rsidR="001079B9" w:rsidRPr="00800D95" w:rsidRDefault="001079B9" w:rsidP="007451FD">
            <w:pPr>
              <w:rPr>
                <w:rFonts w:asciiTheme="majorHAnsi" w:hAnsiTheme="majorHAnsi"/>
              </w:rPr>
            </w:pPr>
            <w:r w:rsidRPr="00800D95">
              <w:rPr>
                <w:rFonts w:asciiTheme="majorHAnsi" w:hAnsiTheme="majorHAnsi"/>
              </w:rPr>
              <w:t>Incluir coordenadas en figura 1</w:t>
            </w:r>
          </w:p>
        </w:tc>
        <w:tc>
          <w:tcPr>
            <w:tcW w:w="4322" w:type="dxa"/>
          </w:tcPr>
          <w:p w:rsidR="001079B9" w:rsidRPr="00800D95" w:rsidRDefault="001079B9" w:rsidP="00784BE0">
            <w:pPr>
              <w:rPr>
                <w:rFonts w:asciiTheme="majorHAnsi" w:hAnsiTheme="majorHAnsi"/>
              </w:rPr>
            </w:pPr>
            <w:r w:rsidRPr="00800D95">
              <w:rPr>
                <w:rFonts w:asciiTheme="majorHAnsi" w:hAnsiTheme="majorHAnsi"/>
              </w:rPr>
              <w:t>-Coordenadas en figura 1, P. 3</w:t>
            </w:r>
          </w:p>
        </w:tc>
      </w:tr>
      <w:tr w:rsidR="001079B9" w:rsidRPr="00800D95" w:rsidTr="00EC1042">
        <w:tc>
          <w:tcPr>
            <w:tcW w:w="4322" w:type="dxa"/>
          </w:tcPr>
          <w:p w:rsidR="001079B9" w:rsidRPr="00800D95" w:rsidRDefault="001079B9" w:rsidP="007451FD">
            <w:pPr>
              <w:rPr>
                <w:rFonts w:asciiTheme="majorHAnsi" w:hAnsiTheme="majorHAnsi"/>
              </w:rPr>
            </w:pPr>
            <w:r w:rsidRPr="00800D95">
              <w:rPr>
                <w:rFonts w:asciiTheme="majorHAnsi" w:hAnsiTheme="majorHAnsi"/>
              </w:rPr>
              <w:t>Incluir coordenadas en figura 2</w:t>
            </w:r>
          </w:p>
        </w:tc>
        <w:tc>
          <w:tcPr>
            <w:tcW w:w="4322" w:type="dxa"/>
          </w:tcPr>
          <w:p w:rsidR="001079B9" w:rsidRPr="00800D95" w:rsidRDefault="001079B9" w:rsidP="00784BE0">
            <w:pPr>
              <w:rPr>
                <w:rFonts w:asciiTheme="majorHAnsi" w:hAnsiTheme="majorHAnsi"/>
              </w:rPr>
            </w:pPr>
            <w:r w:rsidRPr="00800D95">
              <w:rPr>
                <w:rFonts w:asciiTheme="majorHAnsi" w:hAnsiTheme="majorHAnsi"/>
              </w:rPr>
              <w:t>-Coordenadas en figura 2, P. 4</w:t>
            </w:r>
          </w:p>
        </w:tc>
      </w:tr>
      <w:tr w:rsidR="007D0441" w:rsidRPr="00800D95" w:rsidTr="00EC1042">
        <w:tc>
          <w:tcPr>
            <w:tcW w:w="4322" w:type="dxa"/>
          </w:tcPr>
          <w:p w:rsidR="007D0441" w:rsidRPr="00800D95" w:rsidRDefault="007D0441" w:rsidP="007451FD">
            <w:pPr>
              <w:rPr>
                <w:rFonts w:asciiTheme="majorHAnsi" w:hAnsiTheme="majorHAnsi"/>
              </w:rPr>
            </w:pPr>
            <w:r>
              <w:rPr>
                <w:rFonts w:asciiTheme="majorHAnsi" w:hAnsiTheme="majorHAnsi"/>
              </w:rPr>
              <w:t>Mejorar redacción</w:t>
            </w:r>
          </w:p>
        </w:tc>
        <w:tc>
          <w:tcPr>
            <w:tcW w:w="4322" w:type="dxa"/>
          </w:tcPr>
          <w:p w:rsidR="007D0441" w:rsidRDefault="007D0441" w:rsidP="007D0441">
            <w:pPr>
              <w:rPr>
                <w:rFonts w:asciiTheme="majorHAnsi" w:hAnsiTheme="majorHAnsi"/>
                <w:color w:val="FF0000"/>
              </w:rPr>
            </w:pPr>
            <w:r>
              <w:rPr>
                <w:rFonts w:asciiTheme="majorHAnsi" w:hAnsiTheme="majorHAnsi"/>
              </w:rPr>
              <w:t xml:space="preserve">-En la p.4 en el título del apartado se añade </w:t>
            </w:r>
            <w:r w:rsidRPr="007D0441">
              <w:rPr>
                <w:rFonts w:asciiTheme="majorHAnsi" w:hAnsiTheme="majorHAnsi"/>
                <w:color w:val="FF0000"/>
              </w:rPr>
              <w:t>vaso</w:t>
            </w:r>
          </w:p>
          <w:p w:rsidR="007D0441" w:rsidRDefault="007D0441" w:rsidP="007D0441">
            <w:pPr>
              <w:rPr>
                <w:rFonts w:asciiTheme="majorHAnsi" w:hAnsiTheme="majorHAnsi"/>
                <w:color w:val="000000" w:themeColor="text1"/>
              </w:rPr>
            </w:pPr>
            <w:r>
              <w:rPr>
                <w:rFonts w:asciiTheme="majorHAnsi" w:hAnsiTheme="majorHAnsi"/>
                <w:color w:val="000000" w:themeColor="text1"/>
              </w:rPr>
              <w:lastRenderedPageBreak/>
              <w:t xml:space="preserve">-Se redactó de nuevo el párrafo inicial de la página 6. </w:t>
            </w:r>
          </w:p>
          <w:p w:rsidR="00A20ED1" w:rsidRDefault="00A20ED1" w:rsidP="00A20ED1">
            <w:pPr>
              <w:rPr>
                <w:rFonts w:asciiTheme="majorHAnsi" w:hAnsiTheme="majorHAnsi"/>
                <w:color w:val="000000" w:themeColor="text1"/>
              </w:rPr>
            </w:pPr>
            <w:r>
              <w:rPr>
                <w:rFonts w:asciiTheme="majorHAnsi" w:hAnsiTheme="majorHAnsi"/>
                <w:color w:val="000000" w:themeColor="text1"/>
              </w:rPr>
              <w:t>-En la p. 6 se incluyeron datos epigráficos sobre dos posibles referencias a gobernantes con nombres calendáricos.</w:t>
            </w:r>
          </w:p>
          <w:p w:rsidR="00876CA6" w:rsidRDefault="00876CA6" w:rsidP="00A20ED1">
            <w:pPr>
              <w:rPr>
                <w:rFonts w:asciiTheme="majorHAnsi" w:hAnsiTheme="majorHAnsi"/>
                <w:color w:val="FF0000"/>
              </w:rPr>
            </w:pPr>
            <w:r>
              <w:rPr>
                <w:rFonts w:asciiTheme="majorHAnsi" w:hAnsiTheme="majorHAnsi"/>
                <w:color w:val="000000" w:themeColor="text1"/>
              </w:rPr>
              <w:t xml:space="preserve">-Se modifica el título del apartado </w:t>
            </w:r>
            <w:r w:rsidRPr="00876CA6">
              <w:rPr>
                <w:rFonts w:asciiTheme="majorHAnsi" w:hAnsiTheme="majorHAnsi"/>
                <w:b/>
                <w:color w:val="000000" w:themeColor="text1"/>
              </w:rPr>
              <w:t>Análisis epigráfico específico</w:t>
            </w:r>
            <w:r>
              <w:rPr>
                <w:rFonts w:asciiTheme="majorHAnsi" w:hAnsiTheme="majorHAnsi"/>
                <w:b/>
                <w:color w:val="000000" w:themeColor="text1"/>
              </w:rPr>
              <w:t xml:space="preserve"> </w:t>
            </w:r>
            <w:r w:rsidRPr="00876CA6">
              <w:rPr>
                <w:rFonts w:asciiTheme="majorHAnsi" w:hAnsiTheme="majorHAnsi"/>
                <w:color w:val="000000" w:themeColor="text1"/>
              </w:rPr>
              <w:t>(p. 7)</w:t>
            </w:r>
            <w:r>
              <w:rPr>
                <w:rFonts w:asciiTheme="majorHAnsi" w:hAnsiTheme="majorHAnsi"/>
                <w:b/>
                <w:color w:val="000000" w:themeColor="text1"/>
              </w:rPr>
              <w:t xml:space="preserve"> </w:t>
            </w:r>
            <w:r>
              <w:rPr>
                <w:rFonts w:asciiTheme="majorHAnsi" w:hAnsiTheme="majorHAnsi"/>
                <w:color w:val="000000" w:themeColor="text1"/>
              </w:rPr>
              <w:t xml:space="preserve">por el siguiente: </w:t>
            </w:r>
            <w:r w:rsidRPr="00876CA6">
              <w:rPr>
                <w:rFonts w:asciiTheme="majorHAnsi" w:hAnsiTheme="majorHAnsi"/>
                <w:color w:val="FF0000"/>
              </w:rPr>
              <w:t>El contenido del vaso K955</w:t>
            </w:r>
          </w:p>
          <w:p w:rsidR="008162C4" w:rsidRDefault="008162C4" w:rsidP="008162C4">
            <w:pPr>
              <w:rPr>
                <w:rFonts w:asciiTheme="majorHAnsi" w:hAnsiTheme="majorHAnsi"/>
              </w:rPr>
            </w:pPr>
            <w:r>
              <w:rPr>
                <w:rFonts w:asciiTheme="majorHAnsi" w:hAnsiTheme="majorHAnsi"/>
              </w:rPr>
              <w:t>-Se elimina la reconstrucción [de] en el análisis epigráfico, p. 7</w:t>
            </w:r>
          </w:p>
          <w:p w:rsidR="008162C4" w:rsidRDefault="008162C4" w:rsidP="008162C4">
            <w:pPr>
              <w:rPr>
                <w:rFonts w:ascii="Times New Roman" w:hAnsi="Times New Roman" w:cs="Times New Roman"/>
                <w:sz w:val="24"/>
                <w:szCs w:val="24"/>
              </w:rPr>
            </w:pPr>
            <w:r>
              <w:rPr>
                <w:rFonts w:asciiTheme="majorHAnsi" w:hAnsiTheme="majorHAnsi"/>
                <w:color w:val="000000" w:themeColor="text1"/>
              </w:rPr>
              <w:t xml:space="preserve">-Se refina la traducción propuesta para la columna I, resultando </w:t>
            </w:r>
            <w:r w:rsidRPr="008162C4">
              <w:rPr>
                <w:rFonts w:ascii="Times New Roman" w:hAnsi="Times New Roman" w:cs="Times New Roman"/>
                <w:color w:val="FF0000"/>
                <w:sz w:val="24"/>
                <w:szCs w:val="24"/>
              </w:rPr>
              <w:t xml:space="preserve">‘[este es] su vaso para beber el afrutado fuego [de] Ahkan </w:t>
            </w:r>
            <w:r w:rsidR="00822922">
              <w:rPr>
                <w:rFonts w:ascii="Times New Roman" w:hAnsi="Times New Roman" w:cs="Times New Roman"/>
                <w:color w:val="FF0000"/>
                <w:sz w:val="24"/>
                <w:szCs w:val="24"/>
              </w:rPr>
              <w:t xml:space="preserve">[de] </w:t>
            </w:r>
            <w:r w:rsidRPr="008162C4">
              <w:rPr>
                <w:rFonts w:ascii="Times New Roman" w:hAnsi="Times New Roman" w:cs="Times New Roman"/>
                <w:color w:val="FF0000"/>
                <w:sz w:val="24"/>
                <w:szCs w:val="24"/>
              </w:rPr>
              <w:t>Chan K’awiil’</w:t>
            </w:r>
            <w:r>
              <w:rPr>
                <w:rFonts w:ascii="Times New Roman" w:hAnsi="Times New Roman" w:cs="Times New Roman"/>
                <w:sz w:val="24"/>
                <w:szCs w:val="24"/>
              </w:rPr>
              <w:t>.</w:t>
            </w:r>
          </w:p>
          <w:p w:rsidR="00D9526F" w:rsidRDefault="00B757A7" w:rsidP="008162C4">
            <w:pPr>
              <w:rPr>
                <w:rFonts w:ascii="Times New Roman" w:hAnsi="Times New Roman" w:cs="Times New Roman"/>
                <w:color w:val="FF0000"/>
                <w:sz w:val="24"/>
                <w:szCs w:val="24"/>
              </w:rPr>
            </w:pPr>
            <w:r>
              <w:rPr>
                <w:rFonts w:ascii="Times New Roman" w:hAnsi="Times New Roman" w:cs="Times New Roman"/>
                <w:sz w:val="24"/>
                <w:szCs w:val="24"/>
              </w:rPr>
              <w:t xml:space="preserve">-Se modifica el párrafo de la página 8. </w:t>
            </w:r>
            <w:r w:rsidR="00D9526F">
              <w:rPr>
                <w:rFonts w:ascii="Times New Roman" w:hAnsi="Times New Roman" w:cs="Times New Roman"/>
                <w:sz w:val="24"/>
                <w:szCs w:val="24"/>
              </w:rPr>
              <w:t xml:space="preserve">[...] </w:t>
            </w:r>
            <w:r w:rsidR="00D9526F" w:rsidRPr="00D9526F">
              <w:rPr>
                <w:rFonts w:ascii="Times New Roman" w:hAnsi="Times New Roman" w:cs="Times New Roman"/>
                <w:color w:val="FF0000"/>
                <w:sz w:val="24"/>
                <w:szCs w:val="24"/>
              </w:rPr>
              <w:t xml:space="preserve">las características del contenido y el nombre del dueño. En este caso, destaca el hecho de que la referencia comienza con el logograma K’AK’ seguido de tres signos que pudieran ser nominales, entre ellos el logograma AKAN. Teniendo en cuenta el empleo del adjetivo </w:t>
            </w:r>
            <w:proofErr w:type="spellStart"/>
            <w:r w:rsidR="00D9526F" w:rsidRPr="00D9526F">
              <w:rPr>
                <w:rFonts w:ascii="Times New Roman" w:hAnsi="Times New Roman" w:cs="Times New Roman"/>
                <w:color w:val="FF0000"/>
                <w:sz w:val="24"/>
                <w:szCs w:val="24"/>
              </w:rPr>
              <w:t>yutal</w:t>
            </w:r>
            <w:proofErr w:type="spellEnd"/>
            <w:r w:rsidR="00D9526F" w:rsidRPr="00D9526F">
              <w:rPr>
                <w:rFonts w:ascii="Times New Roman" w:hAnsi="Times New Roman" w:cs="Times New Roman"/>
                <w:color w:val="FF0000"/>
                <w:sz w:val="24"/>
                <w:szCs w:val="24"/>
              </w:rPr>
              <w:t>, ‘afrutado’ (Beliaev, Davletshin y Tokovinine, 2010: 260), considero que la presencia inicial del signo K’AK’ puede estar haciendo referencia a una bebida de características especiales ligad</w:t>
            </w:r>
            <w:r w:rsidR="00D9526F">
              <w:rPr>
                <w:rFonts w:ascii="Times New Roman" w:hAnsi="Times New Roman" w:cs="Times New Roman"/>
                <w:color w:val="FF0000"/>
                <w:sz w:val="24"/>
                <w:szCs w:val="24"/>
              </w:rPr>
              <w:t>a, a su vez, a la deidad Ahkan.</w:t>
            </w:r>
          </w:p>
          <w:p w:rsidR="00063A39" w:rsidRPr="008162C4" w:rsidRDefault="00063A39" w:rsidP="008162C4">
            <w:pPr>
              <w:rPr>
                <w:rFonts w:asciiTheme="majorHAnsi" w:hAnsiTheme="majorHAnsi"/>
              </w:rPr>
            </w:pPr>
            <w:r>
              <w:rPr>
                <w:rFonts w:ascii="Times New Roman" w:hAnsi="Times New Roman" w:cs="Times New Roman"/>
                <w:sz w:val="24"/>
                <w:szCs w:val="24"/>
              </w:rPr>
              <w:t xml:space="preserve">-Se modifica último párrafo de la página 11. </w:t>
            </w:r>
            <w:r w:rsidRPr="00063A39">
              <w:rPr>
                <w:rFonts w:ascii="Times New Roman" w:hAnsi="Times New Roman" w:cs="Times New Roman"/>
                <w:color w:val="FF0000"/>
                <w:sz w:val="24"/>
                <w:szCs w:val="24"/>
              </w:rPr>
              <w:t>por la función de contener pulque que se propone para el vaso K955</w:t>
            </w:r>
          </w:p>
          <w:p w:rsidR="008162C4" w:rsidRPr="008162C4" w:rsidRDefault="008162C4" w:rsidP="008162C4">
            <w:pPr>
              <w:rPr>
                <w:rFonts w:asciiTheme="majorHAnsi" w:hAnsiTheme="majorHAnsi"/>
                <w:color w:val="000000" w:themeColor="text1"/>
              </w:rPr>
            </w:pPr>
          </w:p>
        </w:tc>
      </w:tr>
      <w:tr w:rsidR="00655E32" w:rsidRPr="00800D95" w:rsidTr="00EC1042">
        <w:tc>
          <w:tcPr>
            <w:tcW w:w="4322" w:type="dxa"/>
          </w:tcPr>
          <w:p w:rsidR="00655E32" w:rsidRDefault="00655E32" w:rsidP="007451FD">
            <w:pPr>
              <w:rPr>
                <w:rFonts w:asciiTheme="majorHAnsi" w:hAnsiTheme="majorHAnsi"/>
              </w:rPr>
            </w:pPr>
          </w:p>
        </w:tc>
        <w:tc>
          <w:tcPr>
            <w:tcW w:w="4322" w:type="dxa"/>
          </w:tcPr>
          <w:p w:rsidR="00655E32" w:rsidRDefault="00655E32" w:rsidP="007D0441">
            <w:pPr>
              <w:rPr>
                <w:rFonts w:asciiTheme="majorHAnsi" w:hAnsiTheme="majorHAnsi"/>
              </w:rPr>
            </w:pPr>
          </w:p>
        </w:tc>
      </w:tr>
      <w:tr w:rsidR="00655E32" w:rsidRPr="00800D95" w:rsidTr="00EC1042">
        <w:tc>
          <w:tcPr>
            <w:tcW w:w="4322" w:type="dxa"/>
          </w:tcPr>
          <w:p w:rsidR="00655E32" w:rsidRDefault="00655E32" w:rsidP="007451FD">
            <w:pPr>
              <w:rPr>
                <w:rFonts w:asciiTheme="majorHAnsi" w:hAnsiTheme="majorHAnsi"/>
              </w:rPr>
            </w:pPr>
          </w:p>
        </w:tc>
        <w:tc>
          <w:tcPr>
            <w:tcW w:w="4322" w:type="dxa"/>
          </w:tcPr>
          <w:p w:rsidR="00655E32" w:rsidRDefault="00655E32" w:rsidP="007D0441">
            <w:pPr>
              <w:rPr>
                <w:rFonts w:asciiTheme="majorHAnsi" w:hAnsiTheme="majorHAnsi"/>
              </w:rPr>
            </w:pPr>
          </w:p>
        </w:tc>
      </w:tr>
      <w:tr w:rsidR="00C14698" w:rsidRPr="00800D95" w:rsidTr="00EC1042">
        <w:tc>
          <w:tcPr>
            <w:tcW w:w="4322" w:type="dxa"/>
          </w:tcPr>
          <w:p w:rsidR="00C14698" w:rsidRPr="00655E32" w:rsidRDefault="00655E32" w:rsidP="00655E32">
            <w:pPr>
              <w:jc w:val="center"/>
              <w:rPr>
                <w:rFonts w:asciiTheme="majorHAnsi" w:hAnsiTheme="majorHAnsi"/>
                <w:b/>
              </w:rPr>
            </w:pPr>
            <w:r w:rsidRPr="00655E32">
              <w:rPr>
                <w:rFonts w:asciiTheme="majorHAnsi" w:hAnsiTheme="majorHAnsi"/>
                <w:b/>
              </w:rPr>
              <w:t>Cambios del autor</w:t>
            </w:r>
          </w:p>
        </w:tc>
        <w:tc>
          <w:tcPr>
            <w:tcW w:w="4322" w:type="dxa"/>
          </w:tcPr>
          <w:p w:rsidR="00C14698" w:rsidRPr="00C14698" w:rsidRDefault="00C14698" w:rsidP="007D0441">
            <w:pPr>
              <w:rPr>
                <w:rFonts w:asciiTheme="majorHAnsi" w:hAnsiTheme="majorHAnsi" w:cs="Times New Roman"/>
                <w:color w:val="FF0000"/>
              </w:rPr>
            </w:pPr>
            <w:r w:rsidRPr="00C14698">
              <w:rPr>
                <w:rFonts w:asciiTheme="majorHAnsi" w:hAnsiTheme="majorHAnsi"/>
              </w:rPr>
              <w:t xml:space="preserve">-En la página 5 en el segundo párrafo se añade la aclaración </w:t>
            </w:r>
            <w:r w:rsidRPr="00C14698">
              <w:rPr>
                <w:rFonts w:asciiTheme="majorHAnsi" w:hAnsiTheme="majorHAnsi" w:cs="Times New Roman"/>
                <w:color w:val="FF0000"/>
              </w:rPr>
              <w:t>(como en el vaso K999 o en el K1371, entre otros).</w:t>
            </w:r>
          </w:p>
          <w:p w:rsidR="00C14698" w:rsidRDefault="00C14698" w:rsidP="007D0441">
            <w:pPr>
              <w:rPr>
                <w:rFonts w:asciiTheme="majorHAnsi" w:hAnsiTheme="majorHAnsi" w:cs="Times New Roman"/>
                <w:color w:val="FF0000"/>
              </w:rPr>
            </w:pPr>
            <w:r w:rsidRPr="00C14698">
              <w:rPr>
                <w:rFonts w:asciiTheme="majorHAnsi" w:hAnsiTheme="majorHAnsi" w:cs="Times New Roman"/>
              </w:rPr>
              <w:t xml:space="preserve">-En la página 6 primer párrafo se corrige el dato “cómo fecha inicial en otros tres vasos de la colección”, </w:t>
            </w:r>
            <w:r w:rsidRPr="00C14698">
              <w:rPr>
                <w:rFonts w:asciiTheme="majorHAnsi" w:hAnsiTheme="majorHAnsi" w:cs="Times New Roman"/>
                <w:color w:val="000000" w:themeColor="text1"/>
              </w:rPr>
              <w:t xml:space="preserve">por: </w:t>
            </w:r>
            <w:r w:rsidRPr="00C14698">
              <w:rPr>
                <w:rFonts w:asciiTheme="majorHAnsi" w:hAnsiTheme="majorHAnsi" w:cs="Times New Roman"/>
                <w:color w:val="FF0000"/>
              </w:rPr>
              <w:t>“cómo fecha inicial en otros tres vasos de la colección (K1005, K2094 y K5863)”</w:t>
            </w:r>
          </w:p>
          <w:p w:rsidR="00C14698" w:rsidRDefault="00C14698" w:rsidP="007D0441">
            <w:pPr>
              <w:rPr>
                <w:rFonts w:ascii="Times New Roman" w:hAnsi="Times New Roman" w:cs="Times New Roman"/>
                <w:color w:val="FF0000"/>
                <w:sz w:val="24"/>
                <w:szCs w:val="24"/>
              </w:rPr>
            </w:pPr>
            <w:r>
              <w:rPr>
                <w:rFonts w:asciiTheme="majorHAnsi" w:hAnsiTheme="majorHAnsi" w:cs="Times New Roman"/>
                <w:color w:val="000000" w:themeColor="text1"/>
              </w:rPr>
              <w:t xml:space="preserve">-En la página 6, primer párrafo se añade la ubicación por coordenadas de las referencias a los gobernantes de Kaan. </w:t>
            </w:r>
            <w:r w:rsidRPr="00125037">
              <w:rPr>
                <w:rFonts w:ascii="Times New Roman" w:hAnsi="Times New Roman" w:cs="Times New Roman"/>
                <w:sz w:val="24"/>
                <w:szCs w:val="24"/>
              </w:rPr>
              <w:t>Sostenedor del cielo</w:t>
            </w:r>
            <w:r>
              <w:rPr>
                <w:rFonts w:ascii="Times New Roman" w:hAnsi="Times New Roman" w:cs="Times New Roman"/>
                <w:sz w:val="24"/>
                <w:szCs w:val="24"/>
              </w:rPr>
              <w:t xml:space="preserve"> </w:t>
            </w:r>
            <w:r w:rsidRPr="00C14698">
              <w:rPr>
                <w:rFonts w:ascii="Times New Roman" w:hAnsi="Times New Roman" w:cs="Times New Roman"/>
                <w:color w:val="FF0000"/>
                <w:sz w:val="24"/>
                <w:szCs w:val="24"/>
              </w:rPr>
              <w:t>(cartucho jeroglífico B2)</w:t>
            </w:r>
            <w:r w:rsidRPr="00125037">
              <w:rPr>
                <w:rFonts w:ascii="Times New Roman" w:hAnsi="Times New Roman" w:cs="Times New Roman"/>
                <w:sz w:val="24"/>
                <w:szCs w:val="24"/>
              </w:rPr>
              <w:t xml:space="preserve">, </w:t>
            </w:r>
            <w:proofErr w:type="spellStart"/>
            <w:r w:rsidRPr="00125037">
              <w:rPr>
                <w:rFonts w:ascii="Times New Roman" w:hAnsi="Times New Roman" w:cs="Times New Roman"/>
                <w:sz w:val="24"/>
                <w:szCs w:val="24"/>
              </w:rPr>
              <w:t>Ch’am</w:t>
            </w:r>
            <w:proofErr w:type="spellEnd"/>
            <w:r w:rsidRPr="00125037">
              <w:rPr>
                <w:rFonts w:ascii="Times New Roman" w:hAnsi="Times New Roman" w:cs="Times New Roman"/>
                <w:sz w:val="24"/>
                <w:szCs w:val="24"/>
              </w:rPr>
              <w:t xml:space="preserve"> </w:t>
            </w:r>
            <w:proofErr w:type="spellStart"/>
            <w:r w:rsidRPr="00125037">
              <w:rPr>
                <w:rFonts w:ascii="Times New Roman" w:hAnsi="Times New Roman" w:cs="Times New Roman"/>
                <w:sz w:val="24"/>
                <w:szCs w:val="24"/>
              </w:rPr>
              <w:t>Taj</w:t>
            </w:r>
            <w:proofErr w:type="spellEnd"/>
            <w:r w:rsidRPr="00125037">
              <w:rPr>
                <w:rFonts w:ascii="Times New Roman" w:hAnsi="Times New Roman" w:cs="Times New Roman"/>
                <w:sz w:val="24"/>
                <w:szCs w:val="24"/>
              </w:rPr>
              <w:t xml:space="preserve"> K’inich</w:t>
            </w:r>
            <w:r>
              <w:rPr>
                <w:rFonts w:ascii="Times New Roman" w:hAnsi="Times New Roman" w:cs="Times New Roman"/>
                <w:sz w:val="24"/>
                <w:szCs w:val="24"/>
              </w:rPr>
              <w:t xml:space="preserve"> </w:t>
            </w:r>
            <w:r w:rsidRPr="00C14698">
              <w:rPr>
                <w:rFonts w:ascii="Times New Roman" w:hAnsi="Times New Roman" w:cs="Times New Roman"/>
                <w:color w:val="FF0000"/>
                <w:sz w:val="24"/>
                <w:szCs w:val="24"/>
              </w:rPr>
              <w:t>(cartucho jeroglífico C1)</w:t>
            </w:r>
            <w:r w:rsidRPr="00125037">
              <w:rPr>
                <w:rFonts w:ascii="Times New Roman" w:hAnsi="Times New Roman" w:cs="Times New Roman"/>
                <w:sz w:val="24"/>
                <w:szCs w:val="24"/>
              </w:rPr>
              <w:t xml:space="preserve">, Chan </w:t>
            </w:r>
            <w:proofErr w:type="spellStart"/>
            <w:r w:rsidRPr="00125037">
              <w:rPr>
                <w:rFonts w:ascii="Times New Roman" w:hAnsi="Times New Roman" w:cs="Times New Roman"/>
                <w:sz w:val="24"/>
                <w:szCs w:val="24"/>
              </w:rPr>
              <w:t>Chak</w:t>
            </w:r>
            <w:proofErr w:type="spellEnd"/>
            <w:r w:rsidRPr="00125037">
              <w:rPr>
                <w:rFonts w:ascii="Times New Roman" w:hAnsi="Times New Roman" w:cs="Times New Roman"/>
                <w:sz w:val="24"/>
                <w:szCs w:val="24"/>
              </w:rPr>
              <w:t xml:space="preserve"> </w:t>
            </w:r>
            <w:proofErr w:type="spellStart"/>
            <w:r w:rsidRPr="00125037">
              <w:rPr>
                <w:rFonts w:ascii="Times New Roman" w:hAnsi="Times New Roman" w:cs="Times New Roman"/>
                <w:sz w:val="24"/>
                <w:szCs w:val="24"/>
              </w:rPr>
              <w:t>C</w:t>
            </w:r>
            <w:r>
              <w:rPr>
                <w:rFonts w:ascii="Times New Roman" w:hAnsi="Times New Roman" w:cs="Times New Roman"/>
                <w:sz w:val="24"/>
                <w:szCs w:val="24"/>
              </w:rPr>
              <w:t>hapat</w:t>
            </w:r>
            <w:proofErr w:type="spellEnd"/>
            <w:r>
              <w:rPr>
                <w:rFonts w:ascii="Times New Roman" w:hAnsi="Times New Roman" w:cs="Times New Roman"/>
                <w:sz w:val="24"/>
                <w:szCs w:val="24"/>
              </w:rPr>
              <w:t xml:space="preserve"> </w:t>
            </w:r>
            <w:r w:rsidRPr="00C14698">
              <w:rPr>
                <w:rFonts w:ascii="Times New Roman" w:hAnsi="Times New Roman" w:cs="Times New Roman"/>
                <w:color w:val="FF0000"/>
                <w:sz w:val="24"/>
                <w:szCs w:val="24"/>
              </w:rPr>
              <w:t>(cartucho jeroglífico E1)</w:t>
            </w:r>
            <w:r>
              <w:rPr>
                <w:rFonts w:ascii="Times New Roman" w:hAnsi="Times New Roman" w:cs="Times New Roman"/>
                <w:sz w:val="24"/>
                <w:szCs w:val="24"/>
              </w:rPr>
              <w:t xml:space="preserve">, </w:t>
            </w:r>
            <w:proofErr w:type="spellStart"/>
            <w:r>
              <w:rPr>
                <w:rFonts w:ascii="Times New Roman" w:hAnsi="Times New Roman" w:cs="Times New Roman"/>
                <w:sz w:val="24"/>
                <w:szCs w:val="24"/>
              </w:rPr>
              <w:t>Yax</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Jol</w:t>
            </w:r>
            <w:proofErr w:type="spellEnd"/>
            <w:r>
              <w:rPr>
                <w:rFonts w:ascii="Times New Roman" w:hAnsi="Times New Roman" w:cs="Times New Roman"/>
                <w:sz w:val="24"/>
                <w:szCs w:val="24"/>
              </w:rPr>
              <w:t xml:space="preserve"> </w:t>
            </w:r>
            <w:r w:rsidRPr="00C14698">
              <w:rPr>
                <w:rFonts w:ascii="Times New Roman" w:hAnsi="Times New Roman" w:cs="Times New Roman"/>
                <w:color w:val="FF0000"/>
                <w:sz w:val="24"/>
                <w:szCs w:val="24"/>
              </w:rPr>
              <w:t>(cartucho jeroglífico F3)</w:t>
            </w:r>
            <w:r>
              <w:rPr>
                <w:rFonts w:ascii="Times New Roman" w:hAnsi="Times New Roman" w:cs="Times New Roman"/>
                <w:sz w:val="24"/>
                <w:szCs w:val="24"/>
              </w:rPr>
              <w:t xml:space="preserve">, y </w:t>
            </w:r>
            <w:proofErr w:type="spellStart"/>
            <w:r>
              <w:rPr>
                <w:rFonts w:ascii="Times New Roman" w:hAnsi="Times New Roman" w:cs="Times New Roman"/>
                <w:sz w:val="24"/>
                <w:szCs w:val="24"/>
              </w:rPr>
              <w:t>Yax</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Jatz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Jol</w:t>
            </w:r>
            <w:proofErr w:type="spellEnd"/>
            <w:r>
              <w:rPr>
                <w:rFonts w:ascii="Times New Roman" w:hAnsi="Times New Roman" w:cs="Times New Roman"/>
                <w:sz w:val="24"/>
                <w:szCs w:val="24"/>
              </w:rPr>
              <w:t xml:space="preserve"> </w:t>
            </w:r>
            <w:r w:rsidRPr="00C14698">
              <w:rPr>
                <w:rFonts w:ascii="Times New Roman" w:hAnsi="Times New Roman" w:cs="Times New Roman"/>
                <w:color w:val="FF0000"/>
                <w:sz w:val="24"/>
                <w:szCs w:val="24"/>
              </w:rPr>
              <w:t>(cartucho jeroglífico G2)</w:t>
            </w:r>
          </w:p>
          <w:p w:rsidR="00655E32" w:rsidRPr="00A76B88" w:rsidRDefault="00655E32" w:rsidP="007D0441">
            <w:pPr>
              <w:rPr>
                <w:rFonts w:asciiTheme="majorHAnsi" w:hAnsiTheme="majorHAnsi" w:cs="Times New Roman"/>
              </w:rPr>
            </w:pPr>
            <w:r w:rsidRPr="00A76B88">
              <w:rPr>
                <w:rFonts w:asciiTheme="majorHAnsi" w:hAnsiTheme="majorHAnsi" w:cs="Times New Roman"/>
                <w:color w:val="000000" w:themeColor="text1"/>
              </w:rPr>
              <w:t xml:space="preserve">-Se elimina el párrafo de la página 7 </w:t>
            </w:r>
            <w:r w:rsidRPr="000D3E72">
              <w:rPr>
                <w:rFonts w:asciiTheme="majorHAnsi" w:hAnsiTheme="majorHAnsi" w:cs="Times New Roman"/>
                <w:i/>
                <w:color w:val="000000" w:themeColor="text1"/>
              </w:rPr>
              <w:t>“</w:t>
            </w:r>
            <w:r w:rsidRPr="000D3E72">
              <w:rPr>
                <w:rFonts w:asciiTheme="majorHAnsi" w:hAnsiTheme="majorHAnsi" w:cs="Times New Roman"/>
                <w:i/>
              </w:rPr>
              <w:t xml:space="preserve">Debo </w:t>
            </w:r>
            <w:r w:rsidRPr="000D3E72">
              <w:rPr>
                <w:rFonts w:asciiTheme="majorHAnsi" w:hAnsiTheme="majorHAnsi" w:cs="Times New Roman"/>
                <w:i/>
              </w:rPr>
              <w:lastRenderedPageBreak/>
              <w:t>advertir que a la hora de realizar el análisis epigráfico del texto soy consciente de que muchos de estos materiales fueron repintados en tiempos modernos por lo que pudieron sufrir modificaciones caligráficas que varían el contenido informativo, sin embargo, de haber sido el caso en el objeto aquí expuesto la alteración no parece significativa”</w:t>
            </w:r>
            <w:r w:rsidRPr="00A76B88">
              <w:rPr>
                <w:rFonts w:asciiTheme="majorHAnsi" w:hAnsiTheme="majorHAnsi" w:cs="Times New Roman"/>
              </w:rPr>
              <w:t>. Y se convierte en nota de final de página número 12.</w:t>
            </w:r>
          </w:p>
          <w:p w:rsidR="00A76B88" w:rsidRDefault="00A76B88" w:rsidP="007D0441">
            <w:pPr>
              <w:rPr>
                <w:rFonts w:asciiTheme="majorHAnsi" w:hAnsiTheme="majorHAnsi" w:cs="Times New Roman"/>
              </w:rPr>
            </w:pPr>
            <w:r w:rsidRPr="00A76B88">
              <w:rPr>
                <w:rFonts w:asciiTheme="majorHAnsi" w:hAnsiTheme="majorHAnsi" w:cs="Times New Roman"/>
              </w:rPr>
              <w:t>-En la nota número 19 se añade la referencia (López Austin y Millones, 2015: 284)</w:t>
            </w:r>
          </w:p>
          <w:p w:rsidR="00A76B88" w:rsidRDefault="00A76B88" w:rsidP="007D0441">
            <w:pPr>
              <w:rPr>
                <w:rFonts w:asciiTheme="majorHAnsi" w:hAnsiTheme="majorHAnsi" w:cs="Times New Roman"/>
              </w:rPr>
            </w:pPr>
            <w:r>
              <w:rPr>
                <w:rFonts w:asciiTheme="majorHAnsi" w:hAnsiTheme="majorHAnsi" w:cs="Times New Roman"/>
              </w:rPr>
              <w:t xml:space="preserve">-El apartado Conclusiones se renombra como </w:t>
            </w:r>
            <w:r w:rsidRPr="000D3E72">
              <w:rPr>
                <w:rFonts w:asciiTheme="majorHAnsi" w:hAnsiTheme="majorHAnsi" w:cs="Times New Roman"/>
                <w:b/>
              </w:rPr>
              <w:t>Consideraciones finales</w:t>
            </w:r>
            <w:r>
              <w:rPr>
                <w:rFonts w:asciiTheme="majorHAnsi" w:hAnsiTheme="majorHAnsi" w:cs="Times New Roman"/>
              </w:rPr>
              <w:t>.</w:t>
            </w:r>
          </w:p>
          <w:p w:rsidR="00A76B88" w:rsidRDefault="00A76B88" w:rsidP="007D0441">
            <w:pPr>
              <w:rPr>
                <w:rFonts w:asciiTheme="majorHAnsi" w:hAnsiTheme="majorHAnsi" w:cs="Times New Roman"/>
              </w:rPr>
            </w:pPr>
            <w:r>
              <w:rPr>
                <w:rFonts w:asciiTheme="majorHAnsi" w:hAnsiTheme="majorHAnsi" w:cs="Times New Roman"/>
              </w:rPr>
              <w:t xml:space="preserve">-El apartado </w:t>
            </w:r>
            <w:r w:rsidRPr="000D3E72">
              <w:rPr>
                <w:rFonts w:asciiTheme="majorHAnsi" w:hAnsiTheme="majorHAnsi" w:cs="Times New Roman"/>
                <w:b/>
              </w:rPr>
              <w:t xml:space="preserve">Conclusiones </w:t>
            </w:r>
            <w:r>
              <w:rPr>
                <w:rFonts w:asciiTheme="majorHAnsi" w:hAnsiTheme="majorHAnsi" w:cs="Times New Roman"/>
              </w:rPr>
              <w:t xml:space="preserve">comienza en la página 16. </w:t>
            </w:r>
          </w:p>
          <w:p w:rsidR="006C57CF" w:rsidRDefault="006C57CF" w:rsidP="007D0441">
            <w:pPr>
              <w:rPr>
                <w:rFonts w:asciiTheme="majorHAnsi" w:hAnsiTheme="majorHAnsi" w:cs="Times New Roman"/>
              </w:rPr>
            </w:pPr>
            <w:r>
              <w:rPr>
                <w:rFonts w:asciiTheme="majorHAnsi" w:hAnsiTheme="majorHAnsi" w:cs="Times New Roman"/>
              </w:rPr>
              <w:t>-Se elimina la primera frase del primer párrafo de la página 6: “</w:t>
            </w:r>
            <w:r w:rsidRPr="006C57CF">
              <w:rPr>
                <w:rFonts w:asciiTheme="majorHAnsi" w:hAnsiTheme="majorHAnsi" w:cs="Times New Roman"/>
              </w:rPr>
              <w:t>La narrativa del objeto aporta nombres de gobernantes de Kaan acompañados de la fecha calendárica en la que tuvo lugar el evento de la toma del bastón de mando, configurando, de esta manera, un listado dinástico</w:t>
            </w:r>
            <w:r>
              <w:rPr>
                <w:rFonts w:asciiTheme="majorHAnsi" w:hAnsiTheme="majorHAnsi" w:cs="Times New Roman"/>
              </w:rPr>
              <w:t xml:space="preserve">”. </w:t>
            </w:r>
          </w:p>
          <w:p w:rsidR="006C57CF" w:rsidRPr="006C57CF" w:rsidRDefault="006C57CF" w:rsidP="007D0441">
            <w:pPr>
              <w:rPr>
                <w:rFonts w:asciiTheme="majorHAnsi" w:hAnsiTheme="majorHAnsi" w:cs="Times New Roman"/>
                <w:color w:val="000000" w:themeColor="text1"/>
              </w:rPr>
            </w:pPr>
            <w:r>
              <w:rPr>
                <w:rFonts w:asciiTheme="majorHAnsi" w:hAnsiTheme="majorHAnsi" w:cs="Times New Roman"/>
              </w:rPr>
              <w:t xml:space="preserve">-Se añade la palabra </w:t>
            </w:r>
            <w:r w:rsidRPr="006C57CF">
              <w:rPr>
                <w:rFonts w:asciiTheme="majorHAnsi" w:hAnsiTheme="majorHAnsi" w:cs="Times New Roman"/>
                <w:color w:val="FF0000"/>
              </w:rPr>
              <w:t>dinástica</w:t>
            </w:r>
            <w:r>
              <w:rPr>
                <w:rFonts w:asciiTheme="majorHAnsi" w:hAnsiTheme="majorHAnsi" w:cs="Times New Roman"/>
                <w:color w:val="FF0000"/>
              </w:rPr>
              <w:t xml:space="preserve"> </w:t>
            </w:r>
            <w:r>
              <w:rPr>
                <w:rFonts w:asciiTheme="majorHAnsi" w:hAnsiTheme="majorHAnsi" w:cs="Times New Roman"/>
                <w:color w:val="000000" w:themeColor="text1"/>
              </w:rPr>
              <w:t xml:space="preserve">en la primera línea del primer párrafo de la página 6. </w:t>
            </w:r>
            <w:r w:rsidRPr="00125037">
              <w:rPr>
                <w:rFonts w:ascii="Times New Roman" w:hAnsi="Times New Roman" w:cs="Times New Roman"/>
                <w:sz w:val="24"/>
                <w:szCs w:val="24"/>
              </w:rPr>
              <w:t xml:space="preserve">La sucesión </w:t>
            </w:r>
            <w:r w:rsidRPr="006C57CF">
              <w:rPr>
                <w:rFonts w:ascii="Times New Roman" w:hAnsi="Times New Roman" w:cs="Times New Roman"/>
                <w:color w:val="FF0000"/>
                <w:sz w:val="24"/>
                <w:szCs w:val="24"/>
              </w:rPr>
              <w:t>dinástica</w:t>
            </w:r>
            <w:r>
              <w:rPr>
                <w:rFonts w:ascii="Times New Roman" w:hAnsi="Times New Roman" w:cs="Times New Roman"/>
                <w:sz w:val="24"/>
                <w:szCs w:val="24"/>
              </w:rPr>
              <w:t>...</w:t>
            </w:r>
          </w:p>
          <w:p w:rsidR="00C14698" w:rsidRDefault="00E31A9E" w:rsidP="007D0441">
            <w:pPr>
              <w:rPr>
                <w:rFonts w:asciiTheme="majorHAnsi" w:hAnsiTheme="majorHAnsi"/>
              </w:rPr>
            </w:pPr>
            <w:r>
              <w:rPr>
                <w:rFonts w:asciiTheme="majorHAnsi" w:hAnsiTheme="majorHAnsi"/>
              </w:rPr>
              <w:t>-Se añade cita en la página 14, “</w:t>
            </w:r>
            <w:r w:rsidRPr="00E31A9E">
              <w:rPr>
                <w:rFonts w:asciiTheme="majorHAnsi" w:hAnsiTheme="majorHAnsi"/>
                <w:color w:val="FF0000"/>
              </w:rPr>
              <w:t>sobre todo en la entidad política de Naranjo (Tokovinine, 2016: 22)</w:t>
            </w:r>
            <w:r>
              <w:rPr>
                <w:rFonts w:asciiTheme="majorHAnsi" w:hAnsiTheme="majorHAnsi"/>
              </w:rPr>
              <w:t>”</w:t>
            </w:r>
            <w:r w:rsidRPr="00E31A9E">
              <w:rPr>
                <w:rFonts w:asciiTheme="majorHAnsi" w:hAnsiTheme="majorHAnsi"/>
              </w:rPr>
              <w:t>.</w:t>
            </w:r>
            <w:bookmarkStart w:id="0" w:name="_GoBack"/>
            <w:bookmarkEnd w:id="0"/>
          </w:p>
        </w:tc>
      </w:tr>
    </w:tbl>
    <w:p w:rsidR="00E35031" w:rsidRDefault="00E35031"/>
    <w:sectPr w:rsidR="00E3503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042"/>
    <w:rsid w:val="0001542E"/>
    <w:rsid w:val="00063A39"/>
    <w:rsid w:val="000D3E72"/>
    <w:rsid w:val="000E64B3"/>
    <w:rsid w:val="000E6E9A"/>
    <w:rsid w:val="001079B9"/>
    <w:rsid w:val="002871AB"/>
    <w:rsid w:val="002D5B75"/>
    <w:rsid w:val="003046E1"/>
    <w:rsid w:val="00401400"/>
    <w:rsid w:val="004577E8"/>
    <w:rsid w:val="005C568D"/>
    <w:rsid w:val="00655E32"/>
    <w:rsid w:val="006C57CF"/>
    <w:rsid w:val="007451FD"/>
    <w:rsid w:val="00771458"/>
    <w:rsid w:val="00784BE0"/>
    <w:rsid w:val="007D0441"/>
    <w:rsid w:val="00800D95"/>
    <w:rsid w:val="00810E3F"/>
    <w:rsid w:val="008162C4"/>
    <w:rsid w:val="00822922"/>
    <w:rsid w:val="008434DE"/>
    <w:rsid w:val="00876CA6"/>
    <w:rsid w:val="008E4001"/>
    <w:rsid w:val="00904CF3"/>
    <w:rsid w:val="009A1208"/>
    <w:rsid w:val="00A20ED1"/>
    <w:rsid w:val="00A600C7"/>
    <w:rsid w:val="00A76B88"/>
    <w:rsid w:val="00B757A7"/>
    <w:rsid w:val="00C14698"/>
    <w:rsid w:val="00C9619B"/>
    <w:rsid w:val="00CF7D1C"/>
    <w:rsid w:val="00D27D31"/>
    <w:rsid w:val="00D4408D"/>
    <w:rsid w:val="00D9526F"/>
    <w:rsid w:val="00E16560"/>
    <w:rsid w:val="00E31A9E"/>
    <w:rsid w:val="00E35031"/>
    <w:rsid w:val="00EC1042"/>
    <w:rsid w:val="00F25933"/>
    <w:rsid w:val="00FB680C"/>
    <w:rsid w:val="00FC59B7"/>
  </w:rsids>
  <m:mathPr>
    <m:mathFont m:val="Cambria Math"/>
    <m:brkBin m:val="before"/>
    <m:brkBinSub m:val="--"/>
    <m:smallFrac m:val="0"/>
    <m:dispDef/>
    <m:lMargin m:val="0"/>
    <m:rMargin m:val="0"/>
    <m:defJc m:val="centerGroup"/>
    <m:wrapIndent m:val="1440"/>
    <m:intLim m:val="subSup"/>
    <m:naryLim m:val="undOvr"/>
  </m:mathPr>
  <w:themeFontLang w:val="es-E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C1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C1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5190</TotalTime>
  <Pages>3</Pages>
  <Words>796</Words>
  <Characters>4382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Pablo</cp:lastModifiedBy>
  <cp:revision>11</cp:revision>
  <dcterms:created xsi:type="dcterms:W3CDTF">2018-02-13T20:18:00Z</dcterms:created>
  <dcterms:modified xsi:type="dcterms:W3CDTF">2018-03-05T18:36:00Z</dcterms:modified>
</cp:coreProperties>
</file>